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BCCE" w14:textId="0A259BF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240</w:t>
      </w:r>
      <w:r w:rsidR="00CF7D0D">
        <w:rPr>
          <w:rFonts w:ascii="Arial" w:hAnsi="Arial"/>
          <w:b/>
          <w:sz w:val="24"/>
          <w:szCs w:val="24"/>
        </w:rPr>
        <w:t>8802</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938AC9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CF7D0D">
        <w:rPr>
          <w:rFonts w:ascii="Arial" w:hAnsi="Arial" w:cs="Arial"/>
          <w:sz w:val="24"/>
          <w:szCs w:val="22"/>
        </w:rPr>
        <w:t>4.1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E9AC349" w:rsidR="00DE67D1" w:rsidRPr="00CF7D0D" w:rsidRDefault="00DE67D1" w:rsidP="00CF7D0D">
      <w:pPr>
        <w:tabs>
          <w:tab w:val="left" w:pos="1725"/>
        </w:tabs>
        <w:spacing w:before="120" w:after="120"/>
        <w:jc w:val="both"/>
        <w:rPr>
          <w:rFonts w:ascii="Arial" w:hAnsi="Arial" w:cs="Arial"/>
          <w:sz w:val="24"/>
          <w:lang w:val="en-US" w:eastAsia="ja-JP"/>
        </w:rPr>
      </w:pPr>
      <w:r w:rsidRPr="00CF7D0D">
        <w:rPr>
          <w:rFonts w:ascii="Arial" w:hAnsi="Arial" w:cs="Arial"/>
          <w:sz w:val="24"/>
          <w:lang w:val="en-US" w:eastAsia="ja-JP"/>
        </w:rPr>
        <w:t xml:space="preserve">Title: </w:t>
      </w:r>
      <w:r w:rsidRPr="00CF7D0D">
        <w:rPr>
          <w:rFonts w:ascii="Arial" w:hAnsi="Arial" w:cs="Arial"/>
          <w:sz w:val="24"/>
          <w:lang w:val="en-US" w:eastAsia="ja-JP"/>
        </w:rPr>
        <w:tab/>
      </w:r>
      <w:r w:rsidR="009F7793" w:rsidRPr="00CF7D0D">
        <w:rPr>
          <w:rFonts w:ascii="Arial" w:hAnsi="Arial" w:cs="Arial"/>
          <w:sz w:val="24"/>
          <w:lang w:val="en-US" w:eastAsia="ja-JP"/>
        </w:rPr>
        <w:tab/>
      </w:r>
      <w:r w:rsidR="00CF7D0D" w:rsidRPr="00CF7D0D">
        <w:rPr>
          <w:rFonts w:ascii="Arial" w:hAnsi="Arial" w:cs="Arial"/>
          <w:sz w:val="24"/>
          <w:lang w:val="en-US" w:eastAsia="ja-JP"/>
        </w:rPr>
        <w:t>[NR_n41_BW-Core] Clarifications on NS_47 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9D27749" w:rsidR="00284627" w:rsidRPr="007408EB" w:rsidRDefault="004F6404" w:rsidP="00833CE7">
      <w:pPr>
        <w:spacing w:after="120"/>
        <w:jc w:val="both"/>
        <w:rPr>
          <w:rFonts w:ascii="Arial" w:hAnsi="Arial" w:cs="Arial"/>
          <w:lang w:eastAsia="ja-JP"/>
        </w:rPr>
      </w:pPr>
      <w:r>
        <w:rPr>
          <w:lang w:eastAsia="ja-JP"/>
        </w:rPr>
        <w:t xml:space="preserve">Band 41/n41 is widely used and it has separate NS-values defined for operation in USA and in Japan. When </w:t>
      </w:r>
      <w:r w:rsidR="00B4171C">
        <w:rPr>
          <w:lang w:eastAsia="ja-JP"/>
        </w:rPr>
        <w:t xml:space="preserve">enhancements, such as addition of new channel bandwidth, is done, </w:t>
      </w:r>
      <w:r w:rsidR="00833CE7">
        <w:rPr>
          <w:lang w:eastAsia="ja-JP"/>
        </w:rPr>
        <w:t>both NS-values and regions have not always been addressed. Further, NS_47 requirements are based on specific frequency positions for different channel bandwidths, which has not been addressed in LTE or NR specifications. This document discusses these aspects and raises a question on whether RAN4 specifications would need to be clarified for NS_47.</w:t>
      </w: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65E0C280" w14:textId="268B8764" w:rsidR="00F411D1" w:rsidRDefault="00021BCF" w:rsidP="00853EF4">
      <w:pPr>
        <w:spacing w:after="120"/>
        <w:rPr>
          <w:bCs/>
        </w:rPr>
      </w:pPr>
      <w:r>
        <w:rPr>
          <w:bCs/>
        </w:rPr>
        <w:t xml:space="preserve">Currently NS_47 requirements apply only for 30 MHz channel bandwidth </w:t>
      </w:r>
      <w:r w:rsidR="006069F6">
        <w:rPr>
          <w:bCs/>
        </w:rPr>
        <w:t xml:space="preserve">in NR specifications, and NS_47 is not captured to LTE specification at all. </w:t>
      </w:r>
      <w:r w:rsidR="004B0763">
        <w:rPr>
          <w:bCs/>
        </w:rPr>
        <w:t>Some background information for NS_47 can be found in [1]</w:t>
      </w:r>
      <w:r w:rsidR="00F411D1">
        <w:rPr>
          <w:bCs/>
        </w:rPr>
        <w:t>. To summarize the background the LTE assumptions are:</w:t>
      </w:r>
    </w:p>
    <w:p w14:paraId="121E2379" w14:textId="6CFB15EC" w:rsidR="00F411D1" w:rsidRDefault="00532631" w:rsidP="00F411D1">
      <w:pPr>
        <w:pStyle w:val="ListParagraph"/>
        <w:numPr>
          <w:ilvl w:val="0"/>
          <w:numId w:val="40"/>
        </w:numPr>
        <w:spacing w:after="120"/>
        <w:rPr>
          <w:bCs/>
        </w:rPr>
      </w:pPr>
      <w:r>
        <w:rPr>
          <w:bCs/>
        </w:rPr>
        <w:t xml:space="preserve">10 MHz channel is placed at 2545-2555 </w:t>
      </w:r>
      <w:proofErr w:type="gramStart"/>
      <w:r>
        <w:rPr>
          <w:bCs/>
        </w:rPr>
        <w:t>MHz</w:t>
      </w:r>
      <w:proofErr w:type="gramEnd"/>
    </w:p>
    <w:p w14:paraId="439CB5DD" w14:textId="7EA44054" w:rsidR="00532631" w:rsidRDefault="00532631" w:rsidP="00F411D1">
      <w:pPr>
        <w:pStyle w:val="ListParagraph"/>
        <w:numPr>
          <w:ilvl w:val="0"/>
          <w:numId w:val="40"/>
        </w:numPr>
        <w:spacing w:after="120"/>
        <w:rPr>
          <w:bCs/>
        </w:rPr>
      </w:pPr>
      <w:r>
        <w:rPr>
          <w:bCs/>
        </w:rPr>
        <w:t xml:space="preserve">20 MHz channel is placed at 2555-2575 </w:t>
      </w:r>
      <w:proofErr w:type="gramStart"/>
      <w:r>
        <w:rPr>
          <w:bCs/>
        </w:rPr>
        <w:t>MHz</w:t>
      </w:r>
      <w:proofErr w:type="gramEnd"/>
    </w:p>
    <w:p w14:paraId="0167F11F" w14:textId="06471E34" w:rsidR="00AC1189" w:rsidRDefault="00AC1189" w:rsidP="00F411D1">
      <w:pPr>
        <w:pStyle w:val="ListParagraph"/>
        <w:numPr>
          <w:ilvl w:val="0"/>
          <w:numId w:val="40"/>
        </w:numPr>
        <w:spacing w:after="120"/>
        <w:rPr>
          <w:bCs/>
        </w:rPr>
      </w:pPr>
      <w:r>
        <w:rPr>
          <w:bCs/>
        </w:rPr>
        <w:t xml:space="preserve">No uplink CA is </w:t>
      </w:r>
      <w:proofErr w:type="gramStart"/>
      <w:r>
        <w:rPr>
          <w:bCs/>
        </w:rPr>
        <w:t>used</w:t>
      </w:r>
      <w:proofErr w:type="gramEnd"/>
    </w:p>
    <w:p w14:paraId="4ECCC9D8" w14:textId="0829773E" w:rsidR="00AC1189" w:rsidRDefault="00AC1189" w:rsidP="00F411D1">
      <w:pPr>
        <w:pStyle w:val="ListParagraph"/>
        <w:numPr>
          <w:ilvl w:val="0"/>
          <w:numId w:val="40"/>
        </w:numPr>
        <w:spacing w:after="120"/>
        <w:rPr>
          <w:bCs/>
        </w:rPr>
      </w:pPr>
      <w:r>
        <w:rPr>
          <w:bCs/>
        </w:rPr>
        <w:t xml:space="preserve">With these assumptions, general SEM is the same of more stringent than NS_47, and therefore NS_47 is </w:t>
      </w:r>
      <w:proofErr w:type="gramStart"/>
      <w:r>
        <w:rPr>
          <w:bCs/>
        </w:rPr>
        <w:t>not  specified</w:t>
      </w:r>
      <w:proofErr w:type="gramEnd"/>
    </w:p>
    <w:p w14:paraId="79C32993" w14:textId="038F5F5A" w:rsidR="00D1332B" w:rsidRDefault="00AC1189" w:rsidP="00445E27">
      <w:pPr>
        <w:spacing w:after="120"/>
        <w:rPr>
          <w:bCs/>
        </w:rPr>
      </w:pPr>
      <w:r>
        <w:rPr>
          <w:bCs/>
        </w:rPr>
        <w:t xml:space="preserve">Same assumptions are applied for NR, which resulted in </w:t>
      </w:r>
      <w:r w:rsidR="004C7681">
        <w:rPr>
          <w:bCs/>
        </w:rPr>
        <w:t>NS_47 being specified only for 30 MHz channel bandwidth.</w:t>
      </w:r>
    </w:p>
    <w:p w14:paraId="1606E4D4" w14:textId="77777777" w:rsidR="006352EF" w:rsidRDefault="00444052" w:rsidP="00445E27">
      <w:pPr>
        <w:spacing w:after="120"/>
        <w:rPr>
          <w:bCs/>
        </w:rPr>
      </w:pPr>
      <w:r>
        <w:rPr>
          <w:bCs/>
        </w:rPr>
        <w:t>RAN4 specifications do not include any of this information, which can lead to ambiguity and questions on whether RAN4 correctly captures the requirements.</w:t>
      </w:r>
      <w:r w:rsidR="00F100EE">
        <w:rPr>
          <w:bCs/>
        </w:rPr>
        <w:t xml:space="preserve"> </w:t>
      </w:r>
      <w:r w:rsidR="00637ECA">
        <w:rPr>
          <w:bCs/>
        </w:rPr>
        <w:t xml:space="preserve">Furthermore, LTE specifications </w:t>
      </w:r>
      <w:proofErr w:type="gramStart"/>
      <w:r w:rsidR="00637ECA">
        <w:rPr>
          <w:bCs/>
        </w:rPr>
        <w:t>support also</w:t>
      </w:r>
      <w:proofErr w:type="gramEnd"/>
      <w:r w:rsidR="00637ECA">
        <w:rPr>
          <w:bCs/>
        </w:rPr>
        <w:t xml:space="preserve"> 15 MHz channel bandwidth for band 41, and in NR both 15 and 25 MHz channel bandwidth are supported</w:t>
      </w:r>
      <w:r w:rsidR="00BF0960">
        <w:rPr>
          <w:bCs/>
        </w:rPr>
        <w:t xml:space="preserve">, and it is at least not straightforward to find background information on how these channel bandwidths should be treated together with NS_47: are there frequency restrictions or </w:t>
      </w:r>
      <w:r w:rsidR="00BF4CA5">
        <w:rPr>
          <w:bCs/>
        </w:rPr>
        <w:t>the additional requirements just do not apply for these channel bandwidths.</w:t>
      </w:r>
      <w:r w:rsidR="00C16E42">
        <w:rPr>
          <w:bCs/>
        </w:rPr>
        <w:t xml:space="preserve"> </w:t>
      </w:r>
    </w:p>
    <w:p w14:paraId="46BE2520" w14:textId="19D67BC9" w:rsidR="00C16E42" w:rsidRDefault="001059C0" w:rsidP="00445E27">
      <w:pPr>
        <w:spacing w:after="120"/>
        <w:rPr>
          <w:lang w:eastAsia="en-GB"/>
        </w:rPr>
      </w:pPr>
      <w:r>
        <w:rPr>
          <w:bCs/>
        </w:rPr>
        <w:t xml:space="preserve">NR SEM drops to -25 dBm/MHz when </w:t>
      </w:r>
      <w:proofErr w:type="spellStart"/>
      <w:r w:rsidR="000B3C59" w:rsidRPr="000B3C59">
        <w:rPr>
          <w:rFonts w:ascii="Arial" w:hAnsi="Arial" w:cs="Arial"/>
          <w:sz w:val="18"/>
          <w:szCs w:val="18"/>
        </w:rPr>
        <w:t>Δf</w:t>
      </w:r>
      <w:r w:rsidR="000B3C59" w:rsidRPr="000B3C59">
        <w:rPr>
          <w:rFonts w:ascii="Arial" w:hAnsi="Arial" w:cs="Arial"/>
          <w:sz w:val="18"/>
          <w:szCs w:val="18"/>
          <w:vertAlign w:val="subscript"/>
        </w:rPr>
        <w:t>OOB</w:t>
      </w:r>
      <w:proofErr w:type="spellEnd"/>
      <w:r w:rsidR="000B3C59">
        <w:rPr>
          <w:bCs/>
        </w:rPr>
        <w:t xml:space="preserve"> equals channel bandwidth, and 5 MHz further spurious emission requirement of -30 dBm/MHz is in force. Therefore, i</w:t>
      </w:r>
      <w:r w:rsidR="00C16E42">
        <w:rPr>
          <w:bCs/>
        </w:rPr>
        <w:t xml:space="preserve">t can be calculated that </w:t>
      </w:r>
      <w:r w:rsidR="000B3C59">
        <w:rPr>
          <w:bCs/>
        </w:rPr>
        <w:t xml:space="preserve">there needs to be </w:t>
      </w:r>
      <w:r w:rsidR="00954F20">
        <w:rPr>
          <w:bCs/>
        </w:rPr>
        <w:t xml:space="preserve">a gap equal to channel bandwidth between NR carrier and NS_47 requirements. This means </w:t>
      </w:r>
      <w:r w:rsidR="00E15582">
        <w:rPr>
          <w:bCs/>
        </w:rPr>
        <w:t xml:space="preserve">requirements are met with general SEM when </w:t>
      </w:r>
      <w:r w:rsidR="00E15582">
        <w:rPr>
          <w:lang w:eastAsia="en-GB"/>
        </w:rPr>
        <w:t xml:space="preserve">15 MHz carrier is contained within 2550 – 2575 MHz and 20 MHz carrier is contained within 2555 – 2575 </w:t>
      </w:r>
      <w:proofErr w:type="spellStart"/>
      <w:r w:rsidR="00E15582">
        <w:rPr>
          <w:lang w:eastAsia="en-GB"/>
        </w:rPr>
        <w:t>MHz.</w:t>
      </w:r>
      <w:proofErr w:type="spellEnd"/>
      <w:r w:rsidR="006352EF">
        <w:rPr>
          <w:lang w:eastAsia="en-GB"/>
        </w:rPr>
        <w:t xml:space="preserve"> For 25 MHz general SEM is not enough, but to our understanding 25 MHz is not used and does not need to be applicable under NS_47.</w:t>
      </w:r>
      <w:r w:rsidR="00F073CE">
        <w:rPr>
          <w:lang w:eastAsia="en-GB"/>
        </w:rPr>
        <w:t xml:space="preserve"> SEM and NS_47 requirement for 10 and 20 MHz channel bandwidths is illustrated in Figure 1, reproduced from [1].</w:t>
      </w:r>
    </w:p>
    <w:p w14:paraId="756372FA" w14:textId="77777777" w:rsidR="00140300" w:rsidRDefault="00140300" w:rsidP="00140300">
      <w:pPr>
        <w:keepNext/>
        <w:keepLines/>
        <w:jc w:val="center"/>
      </w:pPr>
      <w:r>
        <w:rPr>
          <w:noProof/>
          <w:lang w:val="en-US" w:eastAsia="ja-JP"/>
        </w:rPr>
        <w:lastRenderedPageBreak/>
        <w:drawing>
          <wp:inline distT="0" distB="0" distL="0" distR="0" wp14:anchorId="1C5A2B61" wp14:editId="75EA6805">
            <wp:extent cx="4526622" cy="2372131"/>
            <wp:effectExtent l="0" t="0" r="7620" b="9525"/>
            <wp:docPr id="2" name="図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A diagram of a graph&#10;&#10;Description automatically generated with medium confidence"/>
                    <pic:cNvPicPr/>
                  </pic:nvPicPr>
                  <pic:blipFill rotWithShape="1">
                    <a:blip r:embed="rId7">
                      <a:extLst>
                        <a:ext uri="{28A0092B-C50C-407E-A947-70E740481C1C}">
                          <a14:useLocalDpi xmlns:a14="http://schemas.microsoft.com/office/drawing/2010/main" val="0"/>
                        </a:ext>
                      </a:extLst>
                    </a:blip>
                    <a:srcRect t="3736" b="3102"/>
                    <a:stretch/>
                  </pic:blipFill>
                  <pic:spPr bwMode="auto">
                    <a:xfrm>
                      <a:off x="0" y="0"/>
                      <a:ext cx="4542784" cy="23806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313C67B6" w14:textId="6B8FC228" w:rsidR="00140300" w:rsidRDefault="00140300" w:rsidP="00140300">
      <w:pPr>
        <w:keepLines/>
        <w:spacing w:after="120"/>
        <w:jc w:val="center"/>
        <w:rPr>
          <w:bCs/>
        </w:rPr>
      </w:pPr>
      <w:r w:rsidRPr="001B771C">
        <w:rPr>
          <w:rFonts w:ascii="Arial" w:hAnsi="Arial" w:cs="Arial"/>
          <w:b/>
        </w:rPr>
        <w:t>Figure 1</w:t>
      </w:r>
      <w:r>
        <w:rPr>
          <w:rFonts w:ascii="Arial" w:hAnsi="Arial" w:cs="Arial"/>
          <w:b/>
        </w:rPr>
        <w:t>:</w:t>
      </w:r>
      <w:r w:rsidRPr="001B771C">
        <w:rPr>
          <w:rFonts w:ascii="Arial" w:hAnsi="Arial" w:cs="Arial"/>
          <w:b/>
        </w:rPr>
        <w:t xml:space="preserve"> Current 10MHz/20MHz operation </w:t>
      </w:r>
      <w:r>
        <w:rPr>
          <w:rFonts w:ascii="Arial" w:hAnsi="Arial" w:cs="Arial"/>
          <w:b/>
        </w:rPr>
        <w:t>[1]</w:t>
      </w:r>
    </w:p>
    <w:p w14:paraId="1A31D516" w14:textId="085E7464" w:rsidR="00BF4CA5" w:rsidRDefault="004C527E" w:rsidP="00445E27">
      <w:pPr>
        <w:spacing w:after="120"/>
        <w:rPr>
          <w:bCs/>
        </w:rPr>
      </w:pPr>
      <w:r>
        <w:rPr>
          <w:bCs/>
        </w:rPr>
        <w:t xml:space="preserve">To reduce risk of misinterpretation of the specifications, </w:t>
      </w:r>
      <w:r w:rsidR="007719C3">
        <w:rPr>
          <w:bCs/>
        </w:rPr>
        <w:t>specifications improvements could be considered to make the applicability of NS_47 clearer.</w:t>
      </w:r>
      <w:r w:rsidR="006D5D2E">
        <w:rPr>
          <w:bCs/>
        </w:rPr>
        <w:t xml:space="preserve"> The specification additions could also be informative in nature. For example, following aspects could be </w:t>
      </w:r>
      <w:proofErr w:type="gramStart"/>
      <w:r w:rsidR="006D5D2E">
        <w:rPr>
          <w:bCs/>
        </w:rPr>
        <w:t>considered</w:t>
      </w:r>
      <w:proofErr w:type="gramEnd"/>
    </w:p>
    <w:p w14:paraId="676C3540" w14:textId="6EFB5CB4" w:rsidR="006D5D2E" w:rsidRDefault="000415BC" w:rsidP="006D5D2E">
      <w:pPr>
        <w:pStyle w:val="ListParagraph"/>
        <w:numPr>
          <w:ilvl w:val="0"/>
          <w:numId w:val="40"/>
        </w:numPr>
        <w:spacing w:after="120"/>
        <w:rPr>
          <w:bCs/>
        </w:rPr>
      </w:pPr>
      <w:r>
        <w:rPr>
          <w:bCs/>
        </w:rPr>
        <w:t>Clarify applicable frequency range for 15 and 20 MHz channel bandwidth under NS_47</w:t>
      </w:r>
    </w:p>
    <w:p w14:paraId="10981260" w14:textId="6BF93293" w:rsidR="00C35A3D" w:rsidRPr="00C35A3D" w:rsidRDefault="00C35A3D" w:rsidP="00C35A3D">
      <w:pPr>
        <w:pStyle w:val="ListParagraph"/>
        <w:numPr>
          <w:ilvl w:val="0"/>
          <w:numId w:val="40"/>
        </w:numPr>
        <w:spacing w:after="120"/>
        <w:rPr>
          <w:bCs/>
        </w:rPr>
      </w:pPr>
      <w:r>
        <w:rPr>
          <w:bCs/>
        </w:rPr>
        <w:t>Clarify that with this frequency arrangement NS_47 requirement is fulfilled by meeting general SEM</w:t>
      </w:r>
      <w:r w:rsidR="00053B76">
        <w:rPr>
          <w:bCs/>
        </w:rPr>
        <w:t xml:space="preserve">, and there is no necessity to signal NS_47 for these </w:t>
      </w:r>
      <w:proofErr w:type="gramStart"/>
      <w:r w:rsidR="00053B76">
        <w:rPr>
          <w:bCs/>
        </w:rPr>
        <w:t>cases</w:t>
      </w:r>
      <w:proofErr w:type="gramEnd"/>
    </w:p>
    <w:p w14:paraId="41005450" w14:textId="4DCB7017" w:rsidR="000415BC" w:rsidRDefault="000415BC" w:rsidP="006D5D2E">
      <w:pPr>
        <w:pStyle w:val="ListParagraph"/>
        <w:numPr>
          <w:ilvl w:val="0"/>
          <w:numId w:val="40"/>
        </w:numPr>
        <w:spacing w:after="120"/>
        <w:rPr>
          <w:bCs/>
        </w:rPr>
      </w:pPr>
      <w:r>
        <w:rPr>
          <w:bCs/>
        </w:rPr>
        <w:t xml:space="preserve">Clarify 25 MHz </w:t>
      </w:r>
      <w:r w:rsidR="00C35A3D">
        <w:rPr>
          <w:bCs/>
        </w:rPr>
        <w:t>channel bandwidth is not applicable under NS_47</w:t>
      </w:r>
    </w:p>
    <w:p w14:paraId="2834AD7B" w14:textId="3D23C992" w:rsidR="00E4715F" w:rsidRDefault="00E4715F" w:rsidP="00445E27">
      <w:pPr>
        <w:spacing w:after="120"/>
        <w:rPr>
          <w:bCs/>
        </w:rPr>
      </w:pPr>
      <w:r>
        <w:rPr>
          <w:bCs/>
        </w:rPr>
        <w:t xml:space="preserve">In LTE corresponding content on frequency arrangement </w:t>
      </w:r>
      <w:r w:rsidR="00E12796">
        <w:rPr>
          <w:bCs/>
        </w:rPr>
        <w:t>could</w:t>
      </w:r>
      <w:r>
        <w:rPr>
          <w:bCs/>
        </w:rPr>
        <w:t xml:space="preserve"> be placed on additional </w:t>
      </w:r>
      <w:proofErr w:type="spellStart"/>
      <w:r w:rsidR="00053B76">
        <w:rPr>
          <w:bCs/>
        </w:rPr>
        <w:t>coex</w:t>
      </w:r>
      <w:proofErr w:type="spellEnd"/>
      <w:r w:rsidR="00053B76">
        <w:rPr>
          <w:bCs/>
        </w:rPr>
        <w:t xml:space="preserve"> requirements table</w:t>
      </w:r>
      <w:r w:rsidR="00E12796">
        <w:rPr>
          <w:bCs/>
        </w:rPr>
        <w:t>, as there is no NS_47 defined.</w:t>
      </w:r>
    </w:p>
    <w:p w14:paraId="29096EF2" w14:textId="44E96173" w:rsidR="004C527E" w:rsidRDefault="004C527E" w:rsidP="00445E27">
      <w:pPr>
        <w:spacing w:after="120"/>
        <w:rPr>
          <w:b/>
        </w:rPr>
      </w:pPr>
      <w:r w:rsidRPr="004C527E">
        <w:rPr>
          <w:b/>
        </w:rPr>
        <w:t>Observation 1:</w:t>
      </w:r>
      <w:r>
        <w:rPr>
          <w:b/>
        </w:rPr>
        <w:t xml:space="preserve"> NS_47 requirements in NR and having no additional requirements in LTE for the same case are based on specific assumptions on used channel bandwidths and their </w:t>
      </w:r>
      <w:proofErr w:type="spellStart"/>
      <w:r>
        <w:rPr>
          <w:b/>
        </w:rPr>
        <w:t>center</w:t>
      </w:r>
      <w:proofErr w:type="spellEnd"/>
      <w:r>
        <w:rPr>
          <w:b/>
        </w:rPr>
        <w:t xml:space="preserve"> frequencies, while no restrictions </w:t>
      </w:r>
      <w:r w:rsidR="00E12796">
        <w:rPr>
          <w:b/>
        </w:rPr>
        <w:t xml:space="preserve">or clarifications on this </w:t>
      </w:r>
      <w:r>
        <w:rPr>
          <w:b/>
        </w:rPr>
        <w:t>are present in RAN4 specifications.</w:t>
      </w:r>
    </w:p>
    <w:p w14:paraId="32151CDA" w14:textId="194271F6" w:rsidR="00D803F7" w:rsidRDefault="00D803F7" w:rsidP="00445E27">
      <w:pPr>
        <w:spacing w:after="120"/>
        <w:rPr>
          <w:b/>
        </w:rPr>
      </w:pPr>
      <w:r>
        <w:rPr>
          <w:b/>
        </w:rPr>
        <w:t xml:space="preserve">Observation 2: NS_47 </w:t>
      </w:r>
      <w:proofErr w:type="spellStart"/>
      <w:r>
        <w:rPr>
          <w:b/>
        </w:rPr>
        <w:t>requriements</w:t>
      </w:r>
      <w:proofErr w:type="spellEnd"/>
      <w:r>
        <w:rPr>
          <w:b/>
        </w:rPr>
        <w:t xml:space="preserve"> are fulfilled by meeting general SEM </w:t>
      </w:r>
      <w:r w:rsidRPr="00FA21C1">
        <w:rPr>
          <w:b/>
        </w:rPr>
        <w:t xml:space="preserve">when </w:t>
      </w:r>
      <w:r w:rsidRPr="00FA21C1">
        <w:rPr>
          <w:b/>
          <w:lang w:eastAsia="en-GB"/>
        </w:rPr>
        <w:t xml:space="preserve">15 MHz carrier is contained within 2550 – 2575 MHz and 20 MHz carrier is contained within 2555 – 2575 </w:t>
      </w:r>
      <w:proofErr w:type="spellStart"/>
      <w:r w:rsidRPr="00FA21C1">
        <w:rPr>
          <w:b/>
          <w:lang w:eastAsia="en-GB"/>
        </w:rPr>
        <w:t>MHz.</w:t>
      </w:r>
      <w:proofErr w:type="spellEnd"/>
    </w:p>
    <w:p w14:paraId="4B8572C5" w14:textId="61FC1FA7" w:rsidR="004C527E" w:rsidRDefault="007719C3" w:rsidP="00445E27">
      <w:pPr>
        <w:spacing w:after="120"/>
        <w:rPr>
          <w:b/>
        </w:rPr>
      </w:pPr>
      <w:r>
        <w:rPr>
          <w:b/>
        </w:rPr>
        <w:t xml:space="preserve">Proposal 1: RAN4 to consider whether there is a need make either normative or informative additions to NR and/or LTE specifications </w:t>
      </w:r>
      <w:r w:rsidR="00323591">
        <w:rPr>
          <w:b/>
        </w:rPr>
        <w:t>to make NS_47 requirements clearer.</w:t>
      </w:r>
      <w:r w:rsidR="00E12796">
        <w:rPr>
          <w:b/>
        </w:rPr>
        <w:t xml:space="preserve"> Consider e.g.</w:t>
      </w:r>
    </w:p>
    <w:p w14:paraId="4F41071D" w14:textId="4B939609" w:rsidR="00E12796" w:rsidRDefault="00E12796" w:rsidP="00E12796">
      <w:pPr>
        <w:pStyle w:val="ListParagraph"/>
        <w:numPr>
          <w:ilvl w:val="0"/>
          <w:numId w:val="40"/>
        </w:numPr>
        <w:spacing w:after="120"/>
        <w:rPr>
          <w:b/>
        </w:rPr>
      </w:pPr>
      <w:proofErr w:type="spellStart"/>
      <w:r>
        <w:rPr>
          <w:b/>
        </w:rPr>
        <w:t>Center</w:t>
      </w:r>
      <w:proofErr w:type="spellEnd"/>
      <w:r>
        <w:rPr>
          <w:b/>
        </w:rPr>
        <w:t xml:space="preserve"> frequency restrictions for </w:t>
      </w:r>
      <w:r w:rsidR="00016065">
        <w:rPr>
          <w:b/>
        </w:rPr>
        <w:t>15 and 20 MHz CBW</w:t>
      </w:r>
    </w:p>
    <w:p w14:paraId="40D4D792" w14:textId="3EAF51AA" w:rsidR="00016065" w:rsidRDefault="00016065" w:rsidP="00E12796">
      <w:pPr>
        <w:pStyle w:val="ListParagraph"/>
        <w:numPr>
          <w:ilvl w:val="0"/>
          <w:numId w:val="40"/>
        </w:numPr>
        <w:spacing w:after="120"/>
        <w:rPr>
          <w:b/>
        </w:rPr>
      </w:pPr>
      <w:r>
        <w:rPr>
          <w:b/>
        </w:rPr>
        <w:t>Applicability of 25 MHz CBW</w:t>
      </w:r>
    </w:p>
    <w:p w14:paraId="3AEFE09F" w14:textId="3DA00B9A" w:rsidR="00016065" w:rsidRPr="00E12796" w:rsidRDefault="00B012EB" w:rsidP="00E12796">
      <w:pPr>
        <w:pStyle w:val="ListParagraph"/>
        <w:numPr>
          <w:ilvl w:val="0"/>
          <w:numId w:val="40"/>
        </w:numPr>
        <w:spacing w:after="120"/>
        <w:rPr>
          <w:b/>
        </w:rPr>
      </w:pPr>
      <w:r>
        <w:rPr>
          <w:b/>
        </w:rPr>
        <w:t xml:space="preserve">Requirements being met </w:t>
      </w:r>
      <w:r w:rsidR="00CC7C8D">
        <w:rPr>
          <w:b/>
        </w:rPr>
        <w:t xml:space="preserve">for 20 MHz and narrower CBW </w:t>
      </w:r>
      <w:r>
        <w:rPr>
          <w:b/>
        </w:rPr>
        <w:t>by fulfilling general SEM w</w:t>
      </w:r>
      <w:r w:rsidR="00CC7C8D">
        <w:rPr>
          <w:b/>
        </w:rPr>
        <w:t xml:space="preserve">ith the </w:t>
      </w:r>
      <w:proofErr w:type="spellStart"/>
      <w:r w:rsidR="00CC7C8D">
        <w:rPr>
          <w:b/>
        </w:rPr>
        <w:t>center</w:t>
      </w:r>
      <w:proofErr w:type="spellEnd"/>
      <w:r w:rsidR="00CC7C8D">
        <w:rPr>
          <w:b/>
        </w:rPr>
        <w:t xml:space="preserve"> frequency restrictions in place.</w:t>
      </w:r>
    </w:p>
    <w:p w14:paraId="16D62582" w14:textId="77777777" w:rsidR="00BF4CA5" w:rsidRPr="00637ECA" w:rsidRDefault="00BF4CA5"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14353EE6" w:rsidR="00D645D7" w:rsidRDefault="005F7C8C" w:rsidP="004F6404">
      <w:pPr>
        <w:spacing w:after="120"/>
        <w:jc w:val="both"/>
        <w:rPr>
          <w:lang w:eastAsia="ja-JP"/>
        </w:rPr>
      </w:pPr>
      <w:r w:rsidRPr="00501988">
        <w:rPr>
          <w:lang w:eastAsia="ja-JP"/>
        </w:rPr>
        <w:t>In this contribution</w:t>
      </w:r>
      <w:r w:rsidR="00851427">
        <w:rPr>
          <w:lang w:eastAsia="ja-JP"/>
        </w:rPr>
        <w:t xml:space="preserve"> </w:t>
      </w:r>
      <w:r w:rsidR="00522FB9">
        <w:rPr>
          <w:lang w:eastAsia="ja-JP"/>
        </w:rPr>
        <w:t>possible clarifications for NS_47 requirements were discussed</w:t>
      </w:r>
      <w:r w:rsidR="00EB3836">
        <w:rPr>
          <w:lang w:eastAsia="ja-JP"/>
        </w:rPr>
        <w:t xml:space="preserve">. Following observations and proposals were </w:t>
      </w:r>
      <w:proofErr w:type="gramStart"/>
      <w:r w:rsidR="00EB3836">
        <w:rPr>
          <w:lang w:eastAsia="ja-JP"/>
        </w:rPr>
        <w:t>made</w:t>
      </w:r>
      <w:proofErr w:type="gramEnd"/>
    </w:p>
    <w:p w14:paraId="632A5B23" w14:textId="77777777" w:rsidR="00CC7C8D" w:rsidRDefault="00CC7C8D" w:rsidP="00CC7C8D">
      <w:pPr>
        <w:spacing w:after="120"/>
        <w:rPr>
          <w:b/>
        </w:rPr>
      </w:pPr>
      <w:r w:rsidRPr="004C527E">
        <w:rPr>
          <w:b/>
        </w:rPr>
        <w:t>Observation 1:</w:t>
      </w:r>
      <w:r>
        <w:rPr>
          <w:b/>
        </w:rPr>
        <w:t xml:space="preserve"> NS_47 requirements in NR and having no additional requirements in LTE for the same case are based on specific assumptions on used channel bandwidths and their </w:t>
      </w:r>
      <w:proofErr w:type="spellStart"/>
      <w:r>
        <w:rPr>
          <w:b/>
        </w:rPr>
        <w:t>center</w:t>
      </w:r>
      <w:proofErr w:type="spellEnd"/>
      <w:r>
        <w:rPr>
          <w:b/>
        </w:rPr>
        <w:t xml:space="preserve"> frequencies, while no restrictions or clarifications on this are present in RAN4 specifications.</w:t>
      </w:r>
    </w:p>
    <w:p w14:paraId="6AF749F2" w14:textId="77777777" w:rsidR="00CC7C8D" w:rsidRDefault="00CC7C8D" w:rsidP="00CC7C8D">
      <w:pPr>
        <w:spacing w:after="120"/>
        <w:rPr>
          <w:b/>
        </w:rPr>
      </w:pPr>
      <w:r>
        <w:rPr>
          <w:b/>
        </w:rPr>
        <w:t>Proposal 1: RAN4 to consider whether there is a need make either normative or informative additions to NR and/or LTE specifications to make NS_47 requirements clearer. Consider e.g.</w:t>
      </w:r>
    </w:p>
    <w:p w14:paraId="2BDCA8E6" w14:textId="77777777" w:rsidR="00CC7C8D" w:rsidRDefault="00CC7C8D" w:rsidP="00CC7C8D">
      <w:pPr>
        <w:pStyle w:val="ListParagraph"/>
        <w:numPr>
          <w:ilvl w:val="0"/>
          <w:numId w:val="40"/>
        </w:numPr>
        <w:spacing w:after="120"/>
        <w:rPr>
          <w:b/>
        </w:rPr>
      </w:pPr>
      <w:proofErr w:type="spellStart"/>
      <w:r>
        <w:rPr>
          <w:b/>
        </w:rPr>
        <w:t>Center</w:t>
      </w:r>
      <w:proofErr w:type="spellEnd"/>
      <w:r>
        <w:rPr>
          <w:b/>
        </w:rPr>
        <w:t xml:space="preserve"> frequency restrictions for 15 and 20 MHz CBW</w:t>
      </w:r>
    </w:p>
    <w:p w14:paraId="4B484D41" w14:textId="77777777" w:rsidR="00CC7C8D" w:rsidRDefault="00CC7C8D" w:rsidP="00CC7C8D">
      <w:pPr>
        <w:pStyle w:val="ListParagraph"/>
        <w:numPr>
          <w:ilvl w:val="0"/>
          <w:numId w:val="40"/>
        </w:numPr>
        <w:spacing w:after="120"/>
        <w:rPr>
          <w:b/>
        </w:rPr>
      </w:pPr>
      <w:r>
        <w:rPr>
          <w:b/>
        </w:rPr>
        <w:t>Applicability of 25 MHz CBW</w:t>
      </w:r>
    </w:p>
    <w:p w14:paraId="0FE68C35" w14:textId="65AC3B9D" w:rsidR="004F6404" w:rsidRPr="00CC7C8D" w:rsidRDefault="00CC7C8D" w:rsidP="00CC7C8D">
      <w:pPr>
        <w:pStyle w:val="ListParagraph"/>
        <w:numPr>
          <w:ilvl w:val="0"/>
          <w:numId w:val="40"/>
        </w:numPr>
        <w:spacing w:after="120"/>
        <w:rPr>
          <w:b/>
        </w:rPr>
      </w:pPr>
      <w:r>
        <w:rPr>
          <w:b/>
        </w:rPr>
        <w:t xml:space="preserve">Requirements being met for 20 MHz and narrower CBW by fulfilling general SEM with the </w:t>
      </w:r>
      <w:proofErr w:type="spellStart"/>
      <w:r>
        <w:rPr>
          <w:b/>
        </w:rPr>
        <w:t>center</w:t>
      </w:r>
      <w:proofErr w:type="spellEnd"/>
      <w:r>
        <w:rPr>
          <w:b/>
        </w:rPr>
        <w:t xml:space="preserve"> frequency restrictions in place.</w:t>
      </w: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3484D72F"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0B03A8" w:rsidRPr="004B3F1E">
        <w:rPr>
          <w:rFonts w:ascii="Times New Roman" w:eastAsia="MS Mincho" w:hAnsi="Times New Roman"/>
          <w:lang w:eastAsia="de-DE"/>
        </w:rPr>
        <w:t>R</w:t>
      </w:r>
      <w:proofErr w:type="gramEnd"/>
      <w:r w:rsidR="00186D07">
        <w:rPr>
          <w:rFonts w:ascii="Times New Roman" w:eastAsia="MS Mincho" w:hAnsi="Times New Roman"/>
          <w:lang w:eastAsia="de-DE"/>
        </w:rPr>
        <w:t>4</w:t>
      </w:r>
      <w:r w:rsidR="000B03A8" w:rsidRPr="004B3F1E">
        <w:rPr>
          <w:rFonts w:ascii="Times New Roman" w:eastAsia="MS Mincho" w:hAnsi="Times New Roman"/>
          <w:lang w:eastAsia="de-DE"/>
        </w:rPr>
        <w:t>-</w:t>
      </w:r>
      <w:r w:rsidR="004B0763">
        <w:rPr>
          <w:rFonts w:ascii="Times New Roman" w:eastAsia="MS Mincho" w:hAnsi="Times New Roman"/>
          <w:lang w:eastAsia="de-DE"/>
        </w:rPr>
        <w:t>1900452</w:t>
      </w:r>
      <w:r w:rsidR="00C24E7A">
        <w:rPr>
          <w:rFonts w:ascii="Times New Roman" w:eastAsia="MS Mincho" w:hAnsi="Times New Roman"/>
          <w:lang w:eastAsia="de-DE"/>
        </w:rPr>
        <w:t xml:space="preserve">, </w:t>
      </w:r>
      <w:r w:rsidR="000238DB" w:rsidRPr="000238DB">
        <w:rPr>
          <w:rFonts w:ascii="Times New Roman" w:eastAsia="MS Mincho" w:hAnsi="Times New Roman"/>
          <w:lang w:eastAsia="de-DE"/>
        </w:rPr>
        <w:t>On protection requirement in Japan for n41 30MHz CBW</w:t>
      </w:r>
      <w:r w:rsidR="000238DB">
        <w:rPr>
          <w:rFonts w:ascii="Times New Roman" w:eastAsia="MS Mincho" w:hAnsi="Times New Roman"/>
          <w:lang w:eastAsia="de-DE"/>
        </w:rPr>
        <w:t>, SoftBank Corp.</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E9366" w14:textId="77777777" w:rsidR="003A6A59" w:rsidRDefault="003A6A59">
      <w:r>
        <w:separator/>
      </w:r>
    </w:p>
  </w:endnote>
  <w:endnote w:type="continuationSeparator" w:id="0">
    <w:p w14:paraId="30C6AEE8" w14:textId="77777777" w:rsidR="003A6A59" w:rsidRDefault="003A6A59">
      <w:r>
        <w:continuationSeparator/>
      </w:r>
    </w:p>
  </w:endnote>
  <w:endnote w:type="continuationNotice" w:id="1">
    <w:p w14:paraId="54FF4C35" w14:textId="77777777" w:rsidR="003A6A59" w:rsidRDefault="003A6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9B6" w14:textId="77777777" w:rsidR="003A6A59" w:rsidRDefault="003A6A59">
      <w:r>
        <w:separator/>
      </w:r>
    </w:p>
  </w:footnote>
  <w:footnote w:type="continuationSeparator" w:id="0">
    <w:p w14:paraId="7FC24B44" w14:textId="77777777" w:rsidR="003A6A59" w:rsidRDefault="003A6A59">
      <w:r>
        <w:continuationSeparator/>
      </w:r>
    </w:p>
  </w:footnote>
  <w:footnote w:type="continuationNotice" w:id="1">
    <w:p w14:paraId="1990EA11" w14:textId="77777777" w:rsidR="003A6A59" w:rsidRDefault="003A6A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810</Words>
  <Characters>4287</Characters>
  <Application>Microsoft Office Word</Application>
  <DocSecurity>0</DocSecurity>
  <Lines>35</Lines>
  <Paragraphs>10</Paragraphs>
  <ScaleCrop>false</ScaleCrop>
  <Company>NEC Group</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44</cp:revision>
  <cp:lastPrinted>2012-09-28T09:55:00Z</cp:lastPrinted>
  <dcterms:created xsi:type="dcterms:W3CDTF">2024-05-11T11:30:00Z</dcterms:created>
  <dcterms:modified xsi:type="dcterms:W3CDTF">2024-05-13T11:16:00Z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